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9917-8k_jasper.htm"/>
      <w:bookmarkStart w:id="1" w:name="ksea02999178k_jasper"/>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0731__20"/>
      <w:bookmarkEnd w:id="2"/>
      <w:r>
        <w:rPr>
          <w:rFonts w:ascii="Times New Roman;Times;Serif" w:hAnsi="Times New Roman;Times;Serif"/>
          <w:b/>
          <w:i w:val="false"/>
          <w:caps w:val="false"/>
          <w:smallCaps w:val="false"/>
          <w:sz w:val="20"/>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July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B_edei--EntityRegistrantName_c2026"/>
      <w:bookmarkEnd w:id="4"/>
      <w:r>
        <w:rPr>
          <w:rFonts w:ascii="Times New Roman;Times;Serif" w:hAnsi="Times New Roman;Times;Serif"/>
          <w:b/>
          <w:i w:val="false"/>
          <w:caps w:val="false"/>
          <w:smallCaps w:val="false"/>
          <w:sz w:val="24"/>
        </w:rPr>
        <w:t>JASPER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15"/>
        <w:gridCol w:w="60"/>
        <w:gridCol w:w="2300"/>
        <w:gridCol w:w="60"/>
        <w:gridCol w:w="1610"/>
      </w:tblGrid>
      <w:tr>
        <w:trPr/>
        <w:tc>
          <w:tcPr>
            <w:tcW w:w="2315" w:type="dxa"/>
            <w:tcBorders>
              <w:bottom w:val="single" w:sz="12" w:space="0" w:color="000000"/>
            </w:tcBorders>
            <w:vAlign w:val="center"/>
          </w:tcPr>
          <w:p>
            <w:pPr>
              <w:pStyle w:val="TableContents"/>
              <w:bidi w:val="0"/>
              <w:spacing w:before="0" w:after="283"/>
              <w:jc w:val="center"/>
              <w:rPr>
                <w:b/>
                <w:sz w:val="20"/>
              </w:rPr>
            </w:pPr>
            <w:bookmarkStart w:id="5" w:name="xdx_90C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8_edei--EntityFileNumber_c20260731"/>
            <w:bookmarkEnd w:id="6"/>
            <w:r>
              <w:rPr>
                <w:b/>
                <w:sz w:val="20"/>
              </w:rPr>
              <w:t>001-39138</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bookmarkStart w:id="7" w:name="xdx_90F_edei--EntityTaxIdentificationNum"/>
            <w:bookmarkEnd w:id="7"/>
            <w:r>
              <w:rPr>
                <w:b/>
                <w:sz w:val="20"/>
              </w:rPr>
              <w:t>84-2984849</w:t>
            </w:r>
          </w:p>
        </w:tc>
      </w:tr>
      <w:tr>
        <w:trPr/>
        <w:tc>
          <w:tcPr>
            <w:tcW w:w="231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 or other jurisdiction</w:t>
            </w:r>
            <w:r>
              <w:rPr>
                <w:rFonts w:ascii="Times New Roman;Times;Serif" w:hAnsi="Times New Roman;Times;Serif"/>
                <w:b w:val="false"/>
                <w:i w:val="false"/>
                <w:caps w:val="false"/>
                <w:smallCaps w:val="false"/>
                <w:sz w:val="20"/>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(I.R.S. Employer</w:t>
            </w:r>
            <w:r>
              <w:rPr>
                <w:rFonts w:ascii="Times New Roman;Times;Serif" w:hAnsi="Times New Roman;Times;Serif"/>
                <w:b w:val="false"/>
                <w:i w:val="false"/>
                <w:caps w:val="false"/>
                <w:smallCaps w:val="false"/>
                <w:sz w:val="20"/>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Identification No.)</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3290"/>
        <w:gridCol w:w="60"/>
        <w:gridCol w:w="935"/>
      </w:tblGrid>
      <w:tr>
        <w:trPr/>
        <w:tc>
          <w:tcPr>
            <w:tcW w:w="329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2200 Bridge Pkwy Suite #102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6_edei--EntityAddressCityOrTown_c2"/>
            <w:bookmarkEnd w:id="9"/>
            <w:r>
              <w:rPr>
                <w:rFonts w:ascii="Times New Roman;Times;Serif" w:hAnsi="Times New Roman;Times;Serif"/>
                <w:b/>
                <w:i w:val="false"/>
                <w:caps w:val="false"/>
                <w:smallCaps w:val="false"/>
                <w:sz w:val="20"/>
              </w:rPr>
              <w:t xml:space="preserve">Redwood City, </w:t>
            </w:r>
            <w:bookmarkStart w:id="10" w:name="xdx_90E_edei--EntityAddressStateOrProvin"/>
            <w:bookmarkEnd w:id="10"/>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b/>
                <w:sz w:val="20"/>
              </w:rPr>
            </w:pPr>
            <w:bookmarkStart w:id="11" w:name="xdx_904_edei--EntityAddressPostalZipCode"/>
            <w:bookmarkEnd w:id="11"/>
            <w:r>
              <w:rPr>
                <w:b/>
                <w:sz w:val="20"/>
              </w:rPr>
              <w:t>94065</w:t>
            </w:r>
          </w:p>
        </w:tc>
      </w:tr>
      <w:tr>
        <w:trPr/>
        <w:tc>
          <w:tcPr>
            <w:tcW w:w="3290" w:type="dxa"/>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6_edei--CityAreaCode_c20260731__20"/>
      <w:bookmarkEnd w:id="12"/>
      <w:r>
        <w:rPr>
          <w:rFonts w:ascii="Times New Roman;Times;Serif" w:hAnsi="Times New Roman;Times;Serif"/>
          <w:b/>
          <w:i w:val="false"/>
          <w:caps w:val="false"/>
          <w:smallCaps w:val="false"/>
          <w:sz w:val="20"/>
        </w:rPr>
        <w:t xml:space="preserve">650) </w:t>
      </w:r>
      <w:bookmarkStart w:id="13" w:name="xdx_903_edei--LocalPhoneNumber_c20260731"/>
      <w:bookmarkEnd w:id="13"/>
      <w:r>
        <w:rPr>
          <w:rFonts w:ascii="Times New Roman;Times;Serif" w:hAnsi="Times New Roman;Times;Serif"/>
          <w:b/>
          <w:i w:val="false"/>
          <w:caps w:val="false"/>
          <w:smallCaps w:val="false"/>
          <w:sz w:val="20"/>
        </w:rPr>
        <w:t>549-1400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4" w:name="xdx_903_edei--WrittenCommunications_c202"/>
            <w:bookmarkEnd w:id="14"/>
            <w:r>
              <w:rPr>
                <w:caps w:val="false"/>
                <w:smallCaps w:val="false"/>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5" w:name="xdx_900_edei--SolicitingMaterial_c202607"/>
            <w:bookmarkEnd w:id="15"/>
            <w:r>
              <w:rPr>
                <w:caps w:val="false"/>
                <w:smallCaps w:val="false"/>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B_edei--PreCommencementTenderOffer"/>
            <w:bookmarkEnd w:id="16"/>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7" w:name="xdx_901_edei--PreCommencementIssuerTende"/>
            <w:bookmarkEnd w:id="17"/>
            <w:r>
              <w:rPr>
                <w:caps w:val="false"/>
                <w:smallCaps w:val="false"/>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95"/>
        <w:gridCol w:w="60"/>
        <w:gridCol w:w="1284"/>
        <w:gridCol w:w="60"/>
        <w:gridCol w:w="2106"/>
      </w:tblGrid>
      <w:tr>
        <w:trPr/>
        <w:tc>
          <w:tcPr>
            <w:tcW w:w="669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84"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106"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w:t>
              <w:br/>
              <w:t>registered</w:t>
            </w:r>
          </w:p>
        </w:tc>
      </w:tr>
      <w:tr>
        <w:trPr/>
        <w:tc>
          <w:tcPr>
            <w:tcW w:w="6695" w:type="dxa"/>
            <w:tcBorders/>
            <w:shd w:fill="CCEEFF" w:val="clear"/>
            <w:tcMar>
              <w:bottom w:w="0" w:type="dxa"/>
            </w:tcMar>
            <w:vAlign w:val="center"/>
          </w:tcPr>
          <w:p>
            <w:pPr>
              <w:pStyle w:val="TableContents"/>
              <w:bidi w:val="0"/>
              <w:spacing w:before="0" w:after="283"/>
              <w:jc w:val="center"/>
              <w:rPr>
                <w:sz w:val="20"/>
              </w:rPr>
            </w:pPr>
            <w:bookmarkStart w:id="18" w:name="xdx_909_edei--Security12bTitle_c20260731"/>
            <w:bookmarkEnd w:id="18"/>
            <w:r>
              <w:rPr>
                <w:sz w:val="20"/>
              </w:rPr>
              <w:t>Voting 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4" w:type="dxa"/>
            <w:tcBorders/>
            <w:shd w:fill="CCEEFF" w:val="clear"/>
            <w:tcMar>
              <w:bottom w:w="0" w:type="dxa"/>
            </w:tcMar>
            <w:vAlign w:val="center"/>
          </w:tcPr>
          <w:p>
            <w:pPr>
              <w:pStyle w:val="TableContents"/>
              <w:bidi w:val="0"/>
              <w:spacing w:before="0" w:after="283"/>
              <w:jc w:val="center"/>
              <w:rPr>
                <w:sz w:val="20"/>
              </w:rPr>
            </w:pPr>
            <w:bookmarkStart w:id="19" w:name="xdx_905_edei--TradingSymbol_c20260731__2"/>
            <w:bookmarkEnd w:id="19"/>
            <w:r>
              <w:rPr>
                <w:sz w:val="20"/>
              </w:rPr>
              <w:t>JSPR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6"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1_edei--SecurityExchangeName_c2026"/>
            <w:bookmarkEnd w:id="20"/>
            <w:r>
              <w:rPr>
                <w:sz w:val="20"/>
              </w:rPr>
              <w:t>Nasdaq Stock Market LLC</w:t>
            </w:r>
          </w:p>
        </w:tc>
      </w:tr>
      <w:tr>
        <w:trPr/>
        <w:tc>
          <w:tcPr>
            <w:tcW w:w="6695" w:type="dxa"/>
            <w:tcBorders/>
            <w:shd w:fill="FFFFFF" w:val="clear"/>
            <w:tcMar>
              <w:bottom w:w="0" w:type="dxa"/>
            </w:tcMar>
            <w:vAlign w:val="center"/>
          </w:tcPr>
          <w:p>
            <w:pPr>
              <w:pStyle w:val="TableContents"/>
              <w:bidi w:val="0"/>
              <w:spacing w:before="0" w:after="283"/>
              <w:jc w:val="center"/>
              <w:rPr>
                <w:sz w:val="20"/>
              </w:rPr>
            </w:pPr>
            <w:bookmarkStart w:id="21" w:name="xdx_90B_edei--Security12bTitle_c20260731"/>
            <w:bookmarkEnd w:id="21"/>
            <w:r>
              <w:rPr>
                <w:sz w:val="20"/>
              </w:rPr>
              <w:t>Redeemable Warrants, each ten warrants exercisable for one share of Voting Common Stock at an exercise price of $115.00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4" w:type="dxa"/>
            <w:tcBorders/>
            <w:shd w:fill="FFFFFF" w:val="clear"/>
            <w:tcMar>
              <w:bottom w:w="0" w:type="dxa"/>
            </w:tcMar>
            <w:vAlign w:val="center"/>
          </w:tcPr>
          <w:p>
            <w:pPr>
              <w:pStyle w:val="TableContents"/>
              <w:bidi w:val="0"/>
              <w:spacing w:before="0" w:after="283"/>
              <w:jc w:val="center"/>
              <w:rPr>
                <w:sz w:val="20"/>
              </w:rPr>
            </w:pPr>
            <w:bookmarkStart w:id="22" w:name="xdx_902_edei--TradingSymbol_c20260731__2"/>
            <w:bookmarkEnd w:id="22"/>
            <w:r>
              <w:rPr>
                <w:sz w:val="20"/>
              </w:rPr>
              <w:t>JSPRW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6"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3" w:name="xdx_908_edei--SecurityExchangeName_c2026"/>
            <w:bookmarkEnd w:id="23"/>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2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5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by Jasper Therapeutics, Inc., a Delaware corporation (the “Company”), on a Current Report on Form 8-K filed by the Company with the Securities and Exchange Commission (the “SEC”) on July 16, 2026 (the “Prior Form 8-K”), in connection with the Company’s acquisition of Kira Pharmaceuticals (“Kira”), a former Cayman Islands exempted company, pursuant to that certain Agreement and Plan of Merger, dated July 16, 2026 (the “Merger Agreement”), by and among the Company, Kira and Kira Holdco Inc., a Delaware corporation and wholly owned subsidiary of the Company, each holder of shares of voting common stock of the Company, par value $0.0001 per share (the “Common Stock”), of record immediately prior to the Effective Time (as defined in the Merger Agreement) is entitled to one (1) contractual contingent value right (“CVR”) issued by the Company, subject to and in accordance with the terms and conditions of a contingent value rights agreement (the “CVR Agreement”), for each share of Common Stock held by such holder. Each CVR shall entitle the holder thereof to receive a pro rata portion of $30.0 million (the “Milestone Payment”) if the United States Food and Drug Administration issues a Priority Review Voucher (as defined in the CVR Agreement) in connection with briquilimab (the “Milestone”) on or prior to December 31, 2028 (the “Expiration Date”). If the Milestone is achieved on or prior to the Expiration Date and the Company undergoes a Change of Control (as defined in the CVR Agreement), the Company shall pay the Milestone Payment on the earlier of (i) the date of the consummation of such Change of Control and (ii) ninety (90) days following the Monetization Event (as defined in the CVR Agreement). If the Milestone is achieved on or prior to the Expiration Date but a Monetization Event has not yet occurred on or prior to the Expiration Date, the CVRs shall continue in full force and effect and shall not expire until the Milestone Payment has been paid in full, with the Milestone Payment to be paid on the date that is ninety (90) days following the Monetization Event. The CVRs are not transferable, except in certain limited circumstances as will be provided in the CVR Agreement, will not be certificated or evidenced by any instrument, and will not be registered with the SEC or listed for trading on any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foregoing, the Company hereby confirms that the record date for determining holders entitled to receive the CVRs was July 16, 2026, which was the date of the closing of the acquisition of Kira.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CVRs and the CVR Agreement does not purport to be complete and is qualified in its entirety by reference to the form of the CVR Agreement, which is included as Exhibit F to the Merger Agreement, which was filed as Exhibit 2.1 to the Prior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849" w:type="dxa"/>
        <w:jc w:val="left"/>
        <w:tblInd w:w="0" w:type="dxa"/>
        <w:tblLayout w:type="fixed"/>
        <w:tblCellMar>
          <w:top w:w="0" w:type="dxa"/>
          <w:left w:w="0" w:type="dxa"/>
          <w:bottom w:w="0" w:type="dxa"/>
          <w:right w:w="0" w:type="dxa"/>
        </w:tblCellMar>
      </w:tblPr>
      <w:tblGrid>
        <w:gridCol w:w="1895"/>
        <w:gridCol w:w="365"/>
        <w:gridCol w:w="811"/>
        <w:gridCol w:w="2778"/>
      </w:tblGrid>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JASPER THERAPEUTICS, INC.</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 </w:t>
            </w:r>
          </w:p>
        </w:tc>
        <w:tc>
          <w:tcPr>
            <w:tcW w:w="2778"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July 31, 2026</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589"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Herb Cross</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77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Herb Cross</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77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865</Words>
  <Characters>4459</Characters>
  <CharactersWithSpaces>5337</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